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FA" w:rsidRDefault="00DA1E23">
      <w:pPr>
        <w:rPr>
          <w:b/>
          <w:bCs/>
        </w:rPr>
      </w:pPr>
      <w:r>
        <w:rPr>
          <w:b/>
          <w:bCs/>
        </w:rPr>
        <w:t>Veiledning til bruk ved transport av</w:t>
      </w:r>
      <w:r w:rsidR="00995BFA">
        <w:rPr>
          <w:b/>
          <w:bCs/>
        </w:rPr>
        <w:t xml:space="preserve"> kontrakt f</w:t>
      </w:r>
      <w:r w:rsidR="00995BFA" w:rsidRPr="00995BFA">
        <w:rPr>
          <w:b/>
          <w:bCs/>
        </w:rPr>
        <w:t>or bolig under oppføring fra forbruker til forbruker</w:t>
      </w:r>
    </w:p>
    <w:p w:rsidR="00995BFA" w:rsidRPr="009859BE" w:rsidRDefault="00995BFA" w:rsidP="00995BFA">
      <w:pPr>
        <w:rPr>
          <w:bCs/>
        </w:rPr>
      </w:pPr>
      <w:r w:rsidRPr="009859BE">
        <w:rPr>
          <w:bCs/>
        </w:rPr>
        <w:t>Mange eiendomsmeglere påtar seg å bistå forbrukere med å videreselge en kontrakt om rett til tomt med ny bolig under o</w:t>
      </w:r>
      <w:r w:rsidR="009859BE" w:rsidRPr="009859BE">
        <w:rPr>
          <w:bCs/>
        </w:rPr>
        <w:t>ppføring til en annen forbruker. Slik</w:t>
      </w:r>
      <w:r w:rsidR="009859BE">
        <w:rPr>
          <w:bCs/>
        </w:rPr>
        <w:t xml:space="preserve">t videresalg fra forbruker til en annen forbruker </w:t>
      </w:r>
      <w:r w:rsidR="009859BE" w:rsidRPr="009859BE">
        <w:rPr>
          <w:bCs/>
        </w:rPr>
        <w:t xml:space="preserve">betegnes i det videre som </w:t>
      </w:r>
      <w:r w:rsidR="009859BE" w:rsidRPr="006029B4">
        <w:rPr>
          <w:bCs/>
          <w:i/>
        </w:rPr>
        <w:t>transport av kontraktsposisjon</w:t>
      </w:r>
      <w:r w:rsidRPr="009859BE">
        <w:rPr>
          <w:bCs/>
        </w:rPr>
        <w:t xml:space="preserve">. </w:t>
      </w:r>
    </w:p>
    <w:p w:rsidR="009859BE" w:rsidRPr="004108EF" w:rsidRDefault="00995BFA" w:rsidP="009859BE">
      <w:pPr>
        <w:rPr>
          <w:bCs/>
        </w:rPr>
      </w:pPr>
      <w:r w:rsidRPr="009859BE">
        <w:rPr>
          <w:bCs/>
        </w:rPr>
        <w:t>Bustadoppføringslova og avhendingslova åpner for slik transport av kontraktsposisjon, og med virkning fra 1. juli 2015 ble eiendomsmeglers plikter ved slike salg nærmere redegjort for i eiendomsmegl</w:t>
      </w:r>
      <w:r w:rsidR="009859BE">
        <w:rPr>
          <w:bCs/>
        </w:rPr>
        <w:t>ingsforskriften (emglf.) § 1-5. Finanstilsynets r</w:t>
      </w:r>
      <w:r w:rsidR="009859BE" w:rsidRPr="009859BE">
        <w:rPr>
          <w:bCs/>
        </w:rPr>
        <w:t>undskriv</w:t>
      </w:r>
      <w:r w:rsidR="009859BE">
        <w:rPr>
          <w:bCs/>
        </w:rPr>
        <w:t xml:space="preserve"> 6/2015</w:t>
      </w:r>
      <w:r w:rsidR="009859BE" w:rsidRPr="009859BE">
        <w:rPr>
          <w:bCs/>
        </w:rPr>
        <w:t xml:space="preserve"> opplyser </w:t>
      </w:r>
      <w:r w:rsidR="009859BE">
        <w:rPr>
          <w:bCs/>
        </w:rPr>
        <w:t xml:space="preserve">også </w:t>
      </w:r>
      <w:r w:rsidR="009859BE" w:rsidRPr="009859BE">
        <w:rPr>
          <w:bCs/>
        </w:rPr>
        <w:t xml:space="preserve">nærmere om de plikter som </w:t>
      </w:r>
      <w:r w:rsidR="009859BE" w:rsidRPr="004108EF">
        <w:rPr>
          <w:bCs/>
        </w:rPr>
        <w:t xml:space="preserve">påhviler en eiendomsmegler når de bistår med slike salg. </w:t>
      </w:r>
      <w:r w:rsidR="004A52DB">
        <w:rPr>
          <w:bCs/>
        </w:rPr>
        <w:t>S</w:t>
      </w:r>
      <w:r w:rsidR="009B21B6">
        <w:rPr>
          <w:bCs/>
        </w:rPr>
        <w:t xml:space="preserve">alget av </w:t>
      </w:r>
      <w:r w:rsidR="004A52DB">
        <w:rPr>
          <w:bCs/>
        </w:rPr>
        <w:t xml:space="preserve">selve </w:t>
      </w:r>
      <w:r w:rsidR="009B21B6">
        <w:rPr>
          <w:bCs/>
        </w:rPr>
        <w:t>kontraktsposisjon reguleres av kjøps- og avhendingsloven, mens den kontrakten som rent faktisk transporteres vil være regulert av Bustadoppføringslova</w:t>
      </w:r>
      <w:r w:rsidR="00AE0359">
        <w:rPr>
          <w:bCs/>
        </w:rPr>
        <w:t>.</w:t>
      </w:r>
    </w:p>
    <w:p w:rsidR="009859BE" w:rsidRDefault="00F224F8">
      <w:pPr>
        <w:rPr>
          <w:bCs/>
        </w:rPr>
      </w:pPr>
      <w:r w:rsidRPr="004108EF">
        <w:rPr>
          <w:bCs/>
        </w:rPr>
        <w:t xml:space="preserve">Nedenfor følger en </w:t>
      </w:r>
      <w:r w:rsidR="009859BE" w:rsidRPr="004108EF">
        <w:rPr>
          <w:bCs/>
        </w:rPr>
        <w:t>veiledning på</w:t>
      </w:r>
      <w:r w:rsidR="009859BE">
        <w:rPr>
          <w:bCs/>
        </w:rPr>
        <w:t xml:space="preserve"> enkelte sentrale og praktiske punkter eiendomsmegler bør være oppmerksom på ved slike salg</w:t>
      </w:r>
      <w:r w:rsidR="00AE0359">
        <w:rPr>
          <w:bCs/>
        </w:rPr>
        <w:t>.</w:t>
      </w:r>
      <w:r w:rsidR="009859BE">
        <w:rPr>
          <w:bCs/>
        </w:rPr>
        <w:t xml:space="preserve"> </w:t>
      </w:r>
    </w:p>
    <w:p w:rsidR="009859BE" w:rsidRPr="00257F3D" w:rsidRDefault="00F30866">
      <w:pPr>
        <w:rPr>
          <w:b/>
          <w:bCs/>
        </w:rPr>
      </w:pPr>
      <w:r w:rsidRPr="00257F3D">
        <w:rPr>
          <w:b/>
          <w:bCs/>
        </w:rPr>
        <w:t>Salgsoppgave/p</w:t>
      </w:r>
      <w:r w:rsidR="006029B4" w:rsidRPr="00257F3D">
        <w:rPr>
          <w:b/>
          <w:bCs/>
        </w:rPr>
        <w:t>risopplysninger/pris</w:t>
      </w:r>
      <w:r w:rsidR="009859BE" w:rsidRPr="00257F3D">
        <w:rPr>
          <w:b/>
          <w:bCs/>
        </w:rPr>
        <w:t>antydning</w:t>
      </w:r>
      <w:r w:rsidR="00F224F8" w:rsidRPr="00257F3D">
        <w:rPr>
          <w:b/>
          <w:bCs/>
        </w:rPr>
        <w:t xml:space="preserve"> i markedsføringen </w:t>
      </w:r>
    </w:p>
    <w:p w:rsidR="00F30866" w:rsidRDefault="00F30866" w:rsidP="00F30866">
      <w:pPr>
        <w:rPr>
          <w:bCs/>
        </w:rPr>
      </w:pPr>
      <w:r w:rsidRPr="004108EF">
        <w:rPr>
          <w:bCs/>
        </w:rPr>
        <w:t>Eiendomsmeglingsforskriften § 1-5 (3) bestemmer at det i all markedsføring skal fr</w:t>
      </w:r>
      <w:r w:rsidR="004108EF">
        <w:rPr>
          <w:bCs/>
        </w:rPr>
        <w:t>e</w:t>
      </w:r>
      <w:r w:rsidRPr="004108EF">
        <w:rPr>
          <w:bCs/>
        </w:rPr>
        <w:t>mgå tydelig at handelen gjelder en kontraktsposisjon</w:t>
      </w:r>
      <w:r w:rsidR="00F224F8" w:rsidRPr="004108EF">
        <w:rPr>
          <w:bCs/>
        </w:rPr>
        <w:t>. Eiendomsmegler må</w:t>
      </w:r>
      <w:r w:rsidR="000A55B5" w:rsidRPr="004108EF">
        <w:rPr>
          <w:bCs/>
        </w:rPr>
        <w:t xml:space="preserve"> på</w:t>
      </w:r>
      <w:r w:rsidR="00F224F8" w:rsidRPr="004108EF">
        <w:rPr>
          <w:bCs/>
        </w:rPr>
        <w:t xml:space="preserve"> </w:t>
      </w:r>
      <w:r w:rsidRPr="004108EF">
        <w:rPr>
          <w:bCs/>
        </w:rPr>
        <w:t>en tydelig og utvetydig måte gjør</w:t>
      </w:r>
      <w:r w:rsidR="000A55B5" w:rsidRPr="004108EF">
        <w:rPr>
          <w:bCs/>
        </w:rPr>
        <w:t>e</w:t>
      </w:r>
      <w:r w:rsidRPr="004108EF">
        <w:rPr>
          <w:bCs/>
        </w:rPr>
        <w:t xml:space="preserve"> det klart for interessenter hva som formidles, og hvilken betydning dette har for handelen og gjennomføringen av denne.</w:t>
      </w:r>
      <w:r>
        <w:rPr>
          <w:bCs/>
        </w:rPr>
        <w:t xml:space="preserve"> </w:t>
      </w:r>
    </w:p>
    <w:p w:rsidR="006029B4" w:rsidRPr="006029B4" w:rsidRDefault="004108EF" w:rsidP="00F30866">
      <w:pPr>
        <w:rPr>
          <w:bCs/>
          <w:i/>
        </w:rPr>
      </w:pPr>
      <w:r>
        <w:rPr>
          <w:bCs/>
        </w:rPr>
        <w:t xml:space="preserve">Av </w:t>
      </w:r>
      <w:r w:rsidR="006029B4" w:rsidRPr="006029B4">
        <w:rPr>
          <w:bCs/>
        </w:rPr>
        <w:t xml:space="preserve">Eiendomsmeglingsforskriften § 1-5 (2) bokstav c </w:t>
      </w:r>
      <w:r>
        <w:rPr>
          <w:bCs/>
        </w:rPr>
        <w:t xml:space="preserve">fremgår det </w:t>
      </w:r>
      <w:r w:rsidR="006029B4" w:rsidRPr="006029B4">
        <w:rPr>
          <w:bCs/>
        </w:rPr>
        <w:t xml:space="preserve">at </w:t>
      </w:r>
      <w:r w:rsidR="006029B4" w:rsidRPr="006029B4">
        <w:rPr>
          <w:bCs/>
          <w:u w:val="single"/>
        </w:rPr>
        <w:t>salgsoppgaven</w:t>
      </w:r>
      <w:r w:rsidR="006029B4" w:rsidRPr="006029B4">
        <w:rPr>
          <w:bCs/>
        </w:rPr>
        <w:t xml:space="preserve"> skal angi «..</w:t>
      </w:r>
      <w:r w:rsidR="006029B4" w:rsidRPr="006029B4">
        <w:rPr>
          <w:bCs/>
          <w:i/>
        </w:rPr>
        <w:t>prisforlangende eller prisantydning for kontraktsposisjonen, kjøpesummen i det opprinnelige avtaleforholdet, andel fellesgjeld, alle gebyrer, avgifter og øvrige kostnader, samt summen av disse beløpene.»</w:t>
      </w:r>
      <w:r w:rsidR="004A52DB">
        <w:rPr>
          <w:bCs/>
          <w:i/>
        </w:rPr>
        <w:t xml:space="preserve">. </w:t>
      </w:r>
      <w:r w:rsidR="00257F3D">
        <w:rPr>
          <w:bCs/>
          <w:i/>
        </w:rPr>
        <w:t xml:space="preserve"> </w:t>
      </w:r>
      <w:r w:rsidR="00257F3D" w:rsidRPr="004A52DB">
        <w:rPr>
          <w:bCs/>
        </w:rPr>
        <w:t xml:space="preserve">Vår anbefaling er at alle de forskjellige elementene </w:t>
      </w:r>
      <w:r w:rsidR="001A68E6" w:rsidRPr="004A52DB">
        <w:rPr>
          <w:bCs/>
        </w:rPr>
        <w:t xml:space="preserve">i prisen </w:t>
      </w:r>
      <w:r w:rsidRPr="004A52DB">
        <w:rPr>
          <w:bCs/>
        </w:rPr>
        <w:t xml:space="preserve">og summen av disse </w:t>
      </w:r>
      <w:r w:rsidR="00257F3D" w:rsidRPr="004A52DB">
        <w:rPr>
          <w:bCs/>
        </w:rPr>
        <w:t xml:space="preserve">inntas klart og tydelig </w:t>
      </w:r>
      <w:r w:rsidR="001A68E6" w:rsidRPr="004A52DB">
        <w:rPr>
          <w:bCs/>
        </w:rPr>
        <w:t xml:space="preserve">også </w:t>
      </w:r>
      <w:r w:rsidR="00257F3D" w:rsidRPr="004A52DB">
        <w:rPr>
          <w:bCs/>
        </w:rPr>
        <w:t>i annonser på finn.no eller andre steder</w:t>
      </w:r>
      <w:r w:rsidR="00257F3D">
        <w:rPr>
          <w:bCs/>
          <w:i/>
        </w:rPr>
        <w:t xml:space="preserve">.  </w:t>
      </w:r>
    </w:p>
    <w:p w:rsidR="006029B4" w:rsidRDefault="006029B4" w:rsidP="00F30866">
      <w:pPr>
        <w:rPr>
          <w:bCs/>
        </w:rPr>
      </w:pPr>
      <w:r>
        <w:rPr>
          <w:bCs/>
        </w:rPr>
        <w:t xml:space="preserve">Når det gjelder </w:t>
      </w:r>
      <w:r w:rsidRPr="004A52DB">
        <w:rPr>
          <w:bCs/>
          <w:u w:val="single"/>
        </w:rPr>
        <w:t xml:space="preserve">markedsføring </w:t>
      </w:r>
      <w:r>
        <w:rPr>
          <w:bCs/>
        </w:rPr>
        <w:t xml:space="preserve">og opplysninger om prisantydning, </w:t>
      </w:r>
      <w:r w:rsidR="00F30866">
        <w:rPr>
          <w:bCs/>
        </w:rPr>
        <w:t xml:space="preserve">er det </w:t>
      </w:r>
      <w:r w:rsidR="00257F3D">
        <w:rPr>
          <w:bCs/>
        </w:rPr>
        <w:t xml:space="preserve">etter vår oppfatning </w:t>
      </w:r>
      <w:r w:rsidR="00F30866">
        <w:rPr>
          <w:bCs/>
        </w:rPr>
        <w:t xml:space="preserve">mest </w:t>
      </w:r>
      <w:r w:rsidR="00F30866" w:rsidRPr="00F30866">
        <w:rPr>
          <w:bCs/>
        </w:rPr>
        <w:t xml:space="preserve">korrekt </w:t>
      </w:r>
      <w:r w:rsidR="00F30866">
        <w:rPr>
          <w:bCs/>
        </w:rPr>
        <w:t>å an</w:t>
      </w:r>
      <w:r w:rsidR="00F30866" w:rsidRPr="00F30866">
        <w:rPr>
          <w:bCs/>
        </w:rPr>
        <w:t xml:space="preserve">gi </w:t>
      </w:r>
      <w:r w:rsidR="00F224F8">
        <w:rPr>
          <w:bCs/>
        </w:rPr>
        <w:t>denne</w:t>
      </w:r>
      <w:r w:rsidR="00F30866" w:rsidRPr="00F30866">
        <w:rPr>
          <w:bCs/>
        </w:rPr>
        <w:t xml:space="preserve"> som </w:t>
      </w:r>
      <w:r w:rsidR="00F30866" w:rsidRPr="005E6AEA">
        <w:rPr>
          <w:bCs/>
          <w:i/>
        </w:rPr>
        <w:t>summen av prisantydning for kontraktsposisjonen og den opprinnel</w:t>
      </w:r>
      <w:r w:rsidR="002E5C00" w:rsidRPr="005E6AEA">
        <w:rPr>
          <w:bCs/>
          <w:i/>
        </w:rPr>
        <w:t>ig avtalt kjøpesum</w:t>
      </w:r>
      <w:r w:rsidR="002E5C00">
        <w:rPr>
          <w:bCs/>
        </w:rPr>
        <w:t xml:space="preserve"> i kontrakten. </w:t>
      </w:r>
      <w:r w:rsidR="00257F3D">
        <w:rPr>
          <w:bCs/>
        </w:rPr>
        <w:t xml:space="preserve"> </w:t>
      </w:r>
    </w:p>
    <w:p w:rsidR="009859BE" w:rsidRDefault="009859BE">
      <w:pPr>
        <w:rPr>
          <w:b/>
          <w:bCs/>
        </w:rPr>
      </w:pPr>
      <w:r w:rsidRPr="00F30866">
        <w:rPr>
          <w:b/>
          <w:bCs/>
        </w:rPr>
        <w:t>Bud</w:t>
      </w:r>
      <w:r w:rsidR="006029B4" w:rsidRPr="00F30866">
        <w:rPr>
          <w:b/>
          <w:bCs/>
        </w:rPr>
        <w:t xml:space="preserve">runde </w:t>
      </w:r>
    </w:p>
    <w:p w:rsidR="00F224F8" w:rsidRDefault="009E5F0E">
      <w:pPr>
        <w:rPr>
          <w:bCs/>
        </w:rPr>
      </w:pPr>
      <w:r>
        <w:rPr>
          <w:bCs/>
        </w:rPr>
        <w:lastRenderedPageBreak/>
        <w:t>Budrunden kan gjennomføres ved at det inngis bud kun på selve kontraktsposisjon</w:t>
      </w:r>
      <w:r w:rsidR="0087484F">
        <w:rPr>
          <w:bCs/>
        </w:rPr>
        <w:t>en</w:t>
      </w:r>
      <w:r>
        <w:rPr>
          <w:bCs/>
        </w:rPr>
        <w:t xml:space="preserve"> eller bud som </w:t>
      </w:r>
      <w:r w:rsidR="0087484F">
        <w:rPr>
          <w:bCs/>
        </w:rPr>
        <w:t xml:space="preserve">tilsvarer </w:t>
      </w:r>
      <w:r>
        <w:rPr>
          <w:bCs/>
        </w:rPr>
        <w:t xml:space="preserve">sum av </w:t>
      </w:r>
      <w:r w:rsidRPr="009E5F0E">
        <w:rPr>
          <w:bCs/>
        </w:rPr>
        <w:t>pris for kontraktsposisjonen og opprinnelig avtalt kjøpesum i kontrakten</w:t>
      </w:r>
      <w:r>
        <w:rPr>
          <w:bCs/>
        </w:rPr>
        <w:t xml:space="preserve">. </w:t>
      </w:r>
      <w:r w:rsidR="0098211E">
        <w:rPr>
          <w:bCs/>
        </w:rPr>
        <w:t>Uansett hvilken fremgangsmåte som er valgt, skal vederlaget for selve kontraktsposisjonen fremgå i budskjema og i budjo</w:t>
      </w:r>
      <w:r w:rsidR="00AE0359">
        <w:rPr>
          <w:bCs/>
        </w:rPr>
        <w:t>ur</w:t>
      </w:r>
      <w:r w:rsidR="0098211E">
        <w:rPr>
          <w:bCs/>
        </w:rPr>
        <w:t xml:space="preserve">nal. </w:t>
      </w:r>
      <w:r w:rsidR="00F224F8" w:rsidRPr="009E5F0E">
        <w:rPr>
          <w:bCs/>
        </w:rPr>
        <w:t>Det vesentlige er at megler legger til rette for en forsvarlig avvikling av budrunden hvor budgiverne på forhånd har fått klar, utvetydig og forståelig informasjon om hvorda</w:t>
      </w:r>
      <w:r w:rsidR="00F224F8">
        <w:rPr>
          <w:bCs/>
        </w:rPr>
        <w:t xml:space="preserve">n budrunden vil bli gjennomført. </w:t>
      </w:r>
    </w:p>
    <w:p w:rsidR="007630AB" w:rsidRDefault="009E5F0E" w:rsidP="009E5F0E">
      <w:pPr>
        <w:rPr>
          <w:bCs/>
        </w:rPr>
      </w:pPr>
      <w:r w:rsidRPr="009E5F0E">
        <w:rPr>
          <w:bCs/>
        </w:rPr>
        <w:t xml:space="preserve">Hvis budrunden gjennomføres slik at bud inngis på summen av </w:t>
      </w:r>
      <w:r w:rsidR="004A52DB">
        <w:rPr>
          <w:bCs/>
        </w:rPr>
        <w:t xml:space="preserve">pris for </w:t>
      </w:r>
      <w:r w:rsidRPr="009E5F0E">
        <w:rPr>
          <w:bCs/>
        </w:rPr>
        <w:t>kontraktsposisjon</w:t>
      </w:r>
      <w:r w:rsidR="00AE0359">
        <w:rPr>
          <w:bCs/>
        </w:rPr>
        <w:t>en</w:t>
      </w:r>
      <w:r w:rsidRPr="009E5F0E">
        <w:rPr>
          <w:bCs/>
        </w:rPr>
        <w:t xml:space="preserve"> og opprinnelig avtalt kjøpesum, må budskjemaet være satt opp slik at vederlaget for kontra</w:t>
      </w:r>
      <w:r w:rsidR="00F224F8">
        <w:rPr>
          <w:bCs/>
        </w:rPr>
        <w:t xml:space="preserve">ktsposisjonen framgår særskilt. </w:t>
      </w:r>
      <w:r w:rsidRPr="009E5F0E">
        <w:rPr>
          <w:bCs/>
        </w:rPr>
        <w:t xml:space="preserve">Det kan for eksempel gjøres ved at det er én linje i budskjemaet hvor opprinnelig kontraktssum står ferdigutfylt, og at budgiver på neste linje fører inn budet på selve kontrakten, før beløpet føres til sum på linje tre. Ved budforhøyelser pr </w:t>
      </w:r>
      <w:r w:rsidR="004A52DB" w:rsidRPr="009E5F0E">
        <w:rPr>
          <w:bCs/>
        </w:rPr>
        <w:t>SMS</w:t>
      </w:r>
      <w:r w:rsidRPr="009E5F0E">
        <w:rPr>
          <w:bCs/>
        </w:rPr>
        <w:t xml:space="preserve"> eller lignende, kan disse inngis som sum av kontraktsposisjonspris og opprinnelig avtalt kjøpesum. </w:t>
      </w:r>
      <w:r w:rsidR="0087484F">
        <w:rPr>
          <w:bCs/>
        </w:rPr>
        <w:t xml:space="preserve">Slik oppdeling og tydeliggjøring kan være vanskelig å få gjennomført ved elektronisk budgiving, og eiendomsmeglere som benytter seg av elektronisk budgivning bør av den grunn legge opp til og tydeliggjøre for forbruker at bud skal inngis kun på selve kontraktsposisjonen. </w:t>
      </w:r>
      <w:r w:rsidRPr="009E5F0E">
        <w:rPr>
          <w:bCs/>
        </w:rPr>
        <w:t xml:space="preserve">Budjournalen må </w:t>
      </w:r>
      <w:r w:rsidR="0087484F">
        <w:rPr>
          <w:bCs/>
        </w:rPr>
        <w:t>reflektere den</w:t>
      </w:r>
      <w:r w:rsidRPr="009E5F0E">
        <w:rPr>
          <w:bCs/>
        </w:rPr>
        <w:t xml:space="preserve"> budrunden som er gjennomført</w:t>
      </w:r>
      <w:r w:rsidR="007630AB">
        <w:rPr>
          <w:bCs/>
        </w:rPr>
        <w:t xml:space="preserve">. </w:t>
      </w:r>
    </w:p>
    <w:p w:rsidR="008458FA" w:rsidRDefault="008458FA">
      <w:pPr>
        <w:rPr>
          <w:b/>
          <w:bCs/>
        </w:rPr>
      </w:pPr>
      <w:r w:rsidRPr="00F30866">
        <w:rPr>
          <w:b/>
          <w:bCs/>
        </w:rPr>
        <w:t>Innkreving av merverdi</w:t>
      </w:r>
    </w:p>
    <w:p w:rsidR="00FA675D" w:rsidRPr="00FA675D" w:rsidRDefault="00FA675D" w:rsidP="00FA675D">
      <w:pPr>
        <w:rPr>
          <w:bCs/>
        </w:rPr>
      </w:pPr>
      <w:r>
        <w:rPr>
          <w:bCs/>
        </w:rPr>
        <w:t>V</w:t>
      </w:r>
      <w:r w:rsidRPr="00FA675D">
        <w:rPr>
          <w:bCs/>
        </w:rPr>
        <w:t xml:space="preserve">ed </w:t>
      </w:r>
      <w:r>
        <w:rPr>
          <w:bCs/>
        </w:rPr>
        <w:t>transport av kontraktsposisjon som foretas</w:t>
      </w:r>
      <w:r w:rsidRPr="00FA675D">
        <w:rPr>
          <w:bCs/>
        </w:rPr>
        <w:t xml:space="preserve"> gjennom eiendomsmegler </w:t>
      </w:r>
      <w:r>
        <w:rPr>
          <w:bCs/>
        </w:rPr>
        <w:t xml:space="preserve">kan det </w:t>
      </w:r>
      <w:r w:rsidRPr="00FA675D">
        <w:rPr>
          <w:bCs/>
        </w:rPr>
        <w:t>avtale</w:t>
      </w:r>
      <w:r>
        <w:rPr>
          <w:bCs/>
        </w:rPr>
        <w:t>s</w:t>
      </w:r>
      <w:r w:rsidRPr="00FA675D">
        <w:rPr>
          <w:bCs/>
        </w:rPr>
        <w:t xml:space="preserve"> at kjøpesummen for kontraktsposisjonen forfaller til betaling ved kontraktsinngåelse. </w:t>
      </w:r>
      <w:r>
        <w:rPr>
          <w:bCs/>
        </w:rPr>
        <w:t>Samtidig må det klart r</w:t>
      </w:r>
      <w:r w:rsidRPr="00FA675D">
        <w:rPr>
          <w:bCs/>
        </w:rPr>
        <w:t>egulere</w:t>
      </w:r>
      <w:r>
        <w:rPr>
          <w:bCs/>
        </w:rPr>
        <w:t>s</w:t>
      </w:r>
      <w:r w:rsidRPr="00FA675D">
        <w:rPr>
          <w:bCs/>
        </w:rPr>
        <w:t xml:space="preserve"> at det innbetalte beløpet ikke kan frigis til fordel for </w:t>
      </w:r>
      <w:r w:rsidR="00666DE5">
        <w:rPr>
          <w:bCs/>
        </w:rPr>
        <w:t>kjøper 1</w:t>
      </w:r>
      <w:r w:rsidR="00666DE5" w:rsidRPr="00FA675D">
        <w:rPr>
          <w:bCs/>
        </w:rPr>
        <w:t xml:space="preserve"> </w:t>
      </w:r>
      <w:r w:rsidRPr="00FA675D">
        <w:rPr>
          <w:bCs/>
        </w:rPr>
        <w:t xml:space="preserve">før kjøper </w:t>
      </w:r>
      <w:r w:rsidR="00666DE5">
        <w:rPr>
          <w:bCs/>
        </w:rPr>
        <w:t xml:space="preserve">2 </w:t>
      </w:r>
      <w:r w:rsidRPr="00FA675D">
        <w:rPr>
          <w:bCs/>
        </w:rPr>
        <w:t>har overtatt og fått rettsvern for boligen</w:t>
      </w:r>
      <w:r>
        <w:rPr>
          <w:bCs/>
        </w:rPr>
        <w:t xml:space="preserve">. </w:t>
      </w:r>
      <w:r w:rsidRPr="00FA675D">
        <w:rPr>
          <w:bCs/>
        </w:rPr>
        <w:t xml:space="preserve">Det vil være kjøper </w:t>
      </w:r>
      <w:r w:rsidR="00666DE5">
        <w:rPr>
          <w:bCs/>
        </w:rPr>
        <w:t xml:space="preserve">2 </w:t>
      </w:r>
      <w:r w:rsidRPr="00FA675D">
        <w:rPr>
          <w:bCs/>
        </w:rPr>
        <w:t xml:space="preserve">som har eierrådigheten til det innbetalte beløpet, og </w:t>
      </w:r>
      <w:r w:rsidR="00666DE5">
        <w:rPr>
          <w:bCs/>
        </w:rPr>
        <w:t xml:space="preserve">som </w:t>
      </w:r>
      <w:r w:rsidR="009B21B6">
        <w:rPr>
          <w:bCs/>
        </w:rPr>
        <w:t xml:space="preserve">skal </w:t>
      </w:r>
      <w:r w:rsidRPr="00FA675D">
        <w:rPr>
          <w:bCs/>
        </w:rPr>
        <w:t>godskrives rentene frem til det kan utbetales.</w:t>
      </w:r>
    </w:p>
    <w:p w:rsidR="00BD78BD" w:rsidRDefault="00FA675D" w:rsidP="00BD78BD">
      <w:pPr>
        <w:rPr>
          <w:bCs/>
        </w:rPr>
      </w:pPr>
      <w:r w:rsidRPr="00FA675D">
        <w:rPr>
          <w:bCs/>
        </w:rPr>
        <w:t xml:space="preserve">Et slikt oppgjør vil være i overenstemmelse med det grunnleggende kjøpsrettslige prinsipp om ytelse mot ytelse (kontrakt mot penger), samtidig som man også tar hensyn til at det underliggende objektet reelt sett er en bolig hvor rettvernsakten er hjemmelsoverføring.   </w:t>
      </w:r>
    </w:p>
    <w:p w:rsidR="00BD78BD" w:rsidRDefault="00BD78BD" w:rsidP="00BD78BD">
      <w:pPr>
        <w:rPr>
          <w:b/>
          <w:bCs/>
        </w:rPr>
      </w:pPr>
      <w:r>
        <w:rPr>
          <w:b/>
          <w:bCs/>
        </w:rPr>
        <w:t>T</w:t>
      </w:r>
      <w:r w:rsidRPr="00F30866">
        <w:rPr>
          <w:b/>
          <w:bCs/>
        </w:rPr>
        <w:t xml:space="preserve">ransportgebyr </w:t>
      </w:r>
    </w:p>
    <w:p w:rsidR="00FA675D" w:rsidRDefault="00BD78BD">
      <w:pPr>
        <w:rPr>
          <w:bCs/>
        </w:rPr>
      </w:pPr>
      <w:r>
        <w:rPr>
          <w:bCs/>
        </w:rPr>
        <w:t xml:space="preserve">Dersom utbygger har betinget seg </w:t>
      </w:r>
      <w:r w:rsidRPr="008458FA">
        <w:rPr>
          <w:bCs/>
        </w:rPr>
        <w:t xml:space="preserve">et transportgebyr </w:t>
      </w:r>
      <w:r>
        <w:rPr>
          <w:bCs/>
        </w:rPr>
        <w:t xml:space="preserve">for å samtykke til transport, kan </w:t>
      </w:r>
      <w:r w:rsidR="00A17D46">
        <w:rPr>
          <w:bCs/>
        </w:rPr>
        <w:t>kjøper 1</w:t>
      </w:r>
      <w:r w:rsidRPr="008458FA">
        <w:rPr>
          <w:bCs/>
        </w:rPr>
        <w:t xml:space="preserve"> og kjøper</w:t>
      </w:r>
      <w:r w:rsidR="009A2CDE">
        <w:rPr>
          <w:bCs/>
        </w:rPr>
        <w:t xml:space="preserve"> 2</w:t>
      </w:r>
      <w:r w:rsidRPr="008458FA">
        <w:rPr>
          <w:bCs/>
        </w:rPr>
        <w:t xml:space="preserve"> avtale at sistnevnte skal betale dette. Dette beløpet er å anse som en del av kjøpesummen for kontraktsposisjonen. Beløpet kan derfor frigis </w:t>
      </w:r>
      <w:r w:rsidR="00666DE5">
        <w:rPr>
          <w:bCs/>
        </w:rPr>
        <w:t xml:space="preserve">til kjøper 1 </w:t>
      </w:r>
      <w:r w:rsidRPr="008458FA">
        <w:rPr>
          <w:bCs/>
        </w:rPr>
        <w:t xml:space="preserve">først etter at </w:t>
      </w:r>
      <w:r w:rsidRPr="008458FA">
        <w:rPr>
          <w:bCs/>
        </w:rPr>
        <w:lastRenderedPageBreak/>
        <w:t xml:space="preserve">kjøper </w:t>
      </w:r>
      <w:r w:rsidR="00666DE5">
        <w:rPr>
          <w:bCs/>
        </w:rPr>
        <w:t xml:space="preserve">2 </w:t>
      </w:r>
      <w:r w:rsidRPr="008458FA">
        <w:rPr>
          <w:bCs/>
        </w:rPr>
        <w:t>har fått rettsvern for kontrakten, og etter at han har overtatt eiendommen og fått rettsvern for denne</w:t>
      </w:r>
      <w:r>
        <w:rPr>
          <w:bCs/>
        </w:rPr>
        <w:t xml:space="preserve">. </w:t>
      </w:r>
    </w:p>
    <w:p w:rsidR="001A68E6" w:rsidRDefault="001A68E6">
      <w:pPr>
        <w:rPr>
          <w:bCs/>
        </w:rPr>
      </w:pPr>
      <w:r>
        <w:rPr>
          <w:bCs/>
        </w:rPr>
        <w:t xml:space="preserve">Forskudd </w:t>
      </w:r>
    </w:p>
    <w:p w:rsidR="00DA1E23" w:rsidRDefault="001A68E6" w:rsidP="004965CD">
      <w:pPr>
        <w:rPr>
          <w:bCs/>
        </w:rPr>
      </w:pPr>
      <w:r>
        <w:rPr>
          <w:bCs/>
        </w:rPr>
        <w:t>Dersom det i det opprinnelige avtaleforholdet er avtalt og innbetalt forskudd (f eks. 10</w:t>
      </w:r>
      <w:r w:rsidR="009341C9">
        <w:rPr>
          <w:bCs/>
        </w:rPr>
        <w:t xml:space="preserve"> % av kjøpesummen), kan det i </w:t>
      </w:r>
      <w:r>
        <w:rPr>
          <w:bCs/>
        </w:rPr>
        <w:t>transport</w:t>
      </w:r>
      <w:r w:rsidR="009341C9">
        <w:rPr>
          <w:bCs/>
        </w:rPr>
        <w:t>avtalen inntas vilkår om at k</w:t>
      </w:r>
      <w:r>
        <w:rPr>
          <w:bCs/>
        </w:rPr>
        <w:t>jøper 2 skal betale inn et beløp tilsvarende dette forskuddet</w:t>
      </w:r>
      <w:r w:rsidR="00FB3F58">
        <w:rPr>
          <w:bCs/>
        </w:rPr>
        <w:t xml:space="preserve">. Dette beløpet skal betales inn samtidig med at </w:t>
      </w:r>
      <w:r>
        <w:rPr>
          <w:bCs/>
        </w:rPr>
        <w:t xml:space="preserve">kjøper 2 betaler for selve kontraktsposisjonen (merverdien jf. ovenfor). </w:t>
      </w:r>
    </w:p>
    <w:p w:rsidR="008337CB" w:rsidRDefault="00666DE5">
      <w:pPr>
        <w:rPr>
          <w:bCs/>
        </w:rPr>
      </w:pPr>
      <w:r>
        <w:rPr>
          <w:bCs/>
        </w:rPr>
        <w:t>Beløpet som representerer forskuddet kan frigis til kjøper 1 når opprinnelig selger har fått melding om transporten</w:t>
      </w:r>
      <w:r w:rsidR="00DA1E23">
        <w:rPr>
          <w:bCs/>
        </w:rPr>
        <w:t xml:space="preserve">. Før dette beløpet frigis må eiendomsmegler kontrollere at opprinnelig selger har stilt </w:t>
      </w:r>
      <w:r w:rsidR="004965CD" w:rsidRPr="004965CD">
        <w:rPr>
          <w:bCs/>
        </w:rPr>
        <w:t xml:space="preserve">garanti etter buofl. § 47. </w:t>
      </w:r>
    </w:p>
    <w:p w:rsidR="001A68E6" w:rsidRPr="00BD78BD" w:rsidRDefault="00DA1E23">
      <w:pPr>
        <w:rPr>
          <w:bCs/>
        </w:rPr>
      </w:pPr>
      <w:r>
        <w:rPr>
          <w:bCs/>
        </w:rPr>
        <w:t>Det kan ikke k</w:t>
      </w:r>
      <w:r w:rsidR="008337CB">
        <w:rPr>
          <w:bCs/>
        </w:rPr>
        <w:t>reve</w:t>
      </w:r>
      <w:r>
        <w:rPr>
          <w:bCs/>
        </w:rPr>
        <w:t>s</w:t>
      </w:r>
      <w:r w:rsidR="008337CB">
        <w:rPr>
          <w:bCs/>
        </w:rPr>
        <w:t xml:space="preserve"> forskudd </w:t>
      </w:r>
      <w:r>
        <w:rPr>
          <w:bCs/>
        </w:rPr>
        <w:t xml:space="preserve">fra kjøper 2 </w:t>
      </w:r>
      <w:r w:rsidR="008337CB">
        <w:rPr>
          <w:bCs/>
        </w:rPr>
        <w:t>for selve kontraktsposisjonen</w:t>
      </w:r>
      <w:r w:rsidR="004965CD">
        <w:rPr>
          <w:bCs/>
        </w:rPr>
        <w:t xml:space="preserve"> (merverdien)</w:t>
      </w:r>
      <w:r w:rsidR="008337CB">
        <w:rPr>
          <w:bCs/>
        </w:rPr>
        <w:t xml:space="preserve">. </w:t>
      </w:r>
    </w:p>
    <w:p w:rsidR="00A474BE" w:rsidRDefault="009859BE" w:rsidP="00A474BE">
      <w:pPr>
        <w:rPr>
          <w:rFonts w:ascii="Times New Roman" w:hAnsi="Times New Roman" w:cs="Times New Roman"/>
          <w:color w:val="000000"/>
          <w:sz w:val="23"/>
          <w:szCs w:val="23"/>
        </w:rPr>
      </w:pPr>
      <w:r w:rsidRPr="00F30866">
        <w:rPr>
          <w:b/>
          <w:bCs/>
        </w:rPr>
        <w:t>Skjøteutsted</w:t>
      </w:r>
      <w:r w:rsidR="00A474BE">
        <w:rPr>
          <w:b/>
          <w:bCs/>
        </w:rPr>
        <w:t>else</w:t>
      </w:r>
      <w:r w:rsidR="00A474BE" w:rsidRPr="00A474BE">
        <w:rPr>
          <w:rFonts w:ascii="Times New Roman" w:hAnsi="Times New Roman" w:cs="Times New Roman"/>
          <w:color w:val="000000"/>
          <w:sz w:val="23"/>
          <w:szCs w:val="23"/>
        </w:rPr>
        <w:t xml:space="preserve"> </w:t>
      </w:r>
    </w:p>
    <w:p w:rsidR="00A474BE" w:rsidRDefault="00A474BE" w:rsidP="00A474BE">
      <w:pPr>
        <w:rPr>
          <w:bCs/>
        </w:rPr>
      </w:pPr>
      <w:r>
        <w:rPr>
          <w:bCs/>
        </w:rPr>
        <w:t>Ved transport av kontraktsposisjon kan skjøte for eiendommen enten utst</w:t>
      </w:r>
      <w:r w:rsidRPr="00A474BE">
        <w:rPr>
          <w:bCs/>
        </w:rPr>
        <w:t>edes direkte fra opprinnelig selger til kjøper 2 (tosidig skjøte), eller</w:t>
      </w:r>
      <w:r>
        <w:rPr>
          <w:bCs/>
        </w:rPr>
        <w:t xml:space="preserve"> fra </w:t>
      </w:r>
      <w:r w:rsidRPr="00A474BE">
        <w:rPr>
          <w:bCs/>
        </w:rPr>
        <w:t xml:space="preserve">kjøper 1 </w:t>
      </w:r>
      <w:r>
        <w:rPr>
          <w:bCs/>
        </w:rPr>
        <w:t>til kjøper 2</w:t>
      </w:r>
      <w:r w:rsidRPr="00A474BE">
        <w:rPr>
          <w:bCs/>
        </w:rPr>
        <w:t xml:space="preserve"> med samtykke fra opprinnelig selger qua hjemmelshaver (tresidig skjøte). </w:t>
      </w:r>
    </w:p>
    <w:p w:rsidR="00A474BE" w:rsidRPr="00A474BE" w:rsidRDefault="00A474BE" w:rsidP="00A474BE">
      <w:pPr>
        <w:rPr>
          <w:bCs/>
        </w:rPr>
      </w:pPr>
      <w:r w:rsidRPr="00A474BE">
        <w:rPr>
          <w:bCs/>
        </w:rPr>
        <w:t xml:space="preserve">Statens Kartverk godtar begge framgangsmåtene for tinglysing, jf. tinglysingsloven § 13 første ledd i.f., hvor det settes som vilkår for tinglysing at utstederen har grunnbokshjemmel eller at hjemmelshaveren samtykker. </w:t>
      </w:r>
    </w:p>
    <w:p w:rsidR="00A474BE" w:rsidRPr="00A474BE" w:rsidRDefault="00A474BE" w:rsidP="00A474BE">
      <w:pPr>
        <w:rPr>
          <w:bCs/>
        </w:rPr>
      </w:pPr>
      <w:r>
        <w:rPr>
          <w:bCs/>
        </w:rPr>
        <w:t>H</w:t>
      </w:r>
      <w:r w:rsidRPr="00A474BE">
        <w:rPr>
          <w:bCs/>
        </w:rPr>
        <w:t xml:space="preserve">ensynet til transparens og åpenhet </w:t>
      </w:r>
      <w:r>
        <w:rPr>
          <w:bCs/>
        </w:rPr>
        <w:t xml:space="preserve">taler </w:t>
      </w:r>
      <w:r w:rsidRPr="00A474BE">
        <w:rPr>
          <w:bCs/>
        </w:rPr>
        <w:t xml:space="preserve">for bruk av tresidig skjøte; ved en slik løsning vil begge transaksjonene framgå av skjøtet, og ved valg av denne løsningen vil megler dermed bidra til å vise hele transaksjonen, herunder å synliggjøre en eventuell skattepliktig merverdi på videreselgers hånd. </w:t>
      </w:r>
    </w:p>
    <w:p w:rsidR="000A55B5" w:rsidRDefault="00A474BE" w:rsidP="00A474BE">
      <w:pPr>
        <w:rPr>
          <w:b/>
          <w:bCs/>
        </w:rPr>
      </w:pPr>
      <w:r>
        <w:rPr>
          <w:bCs/>
        </w:rPr>
        <w:t>NEF anbefaler bruk av tresidig skjøte og har Finanstilsynet</w:t>
      </w:r>
      <w:r w:rsidR="00A17D46">
        <w:rPr>
          <w:bCs/>
        </w:rPr>
        <w:t>s</w:t>
      </w:r>
      <w:r>
        <w:rPr>
          <w:bCs/>
        </w:rPr>
        <w:t xml:space="preserve"> støtte i at de</w:t>
      </w:r>
      <w:r w:rsidR="00BA490D">
        <w:rPr>
          <w:bCs/>
        </w:rPr>
        <w:t xml:space="preserve"> </w:t>
      </w:r>
      <w:r w:rsidRPr="00A474BE">
        <w:rPr>
          <w:bCs/>
        </w:rPr>
        <w:t>b</w:t>
      </w:r>
      <w:r w:rsidR="00BA490D">
        <w:rPr>
          <w:bCs/>
        </w:rPr>
        <w:t>este grunner taler for å bruke slikt t</w:t>
      </w:r>
      <w:r w:rsidRPr="00A474BE">
        <w:rPr>
          <w:bCs/>
        </w:rPr>
        <w:t>residig skjøte</w:t>
      </w:r>
      <w:r w:rsidR="00BA490D">
        <w:rPr>
          <w:bCs/>
        </w:rPr>
        <w:t xml:space="preserve">. </w:t>
      </w:r>
      <w:r w:rsidRPr="00A474BE">
        <w:rPr>
          <w:b/>
          <w:bCs/>
        </w:rPr>
        <w:t xml:space="preserve"> </w:t>
      </w:r>
    </w:p>
    <w:p w:rsidR="0014326A" w:rsidRPr="00F30866" w:rsidRDefault="0014326A" w:rsidP="0014326A">
      <w:pPr>
        <w:rPr>
          <w:b/>
          <w:bCs/>
        </w:rPr>
      </w:pPr>
      <w:r w:rsidRPr="009A2CDE">
        <w:rPr>
          <w:b/>
          <w:bCs/>
        </w:rPr>
        <w:t>NEFs kontraktsmal</w:t>
      </w:r>
      <w:r w:rsidR="00B612FF" w:rsidRPr="009A2CDE">
        <w:rPr>
          <w:b/>
          <w:bCs/>
        </w:rPr>
        <w:t xml:space="preserve"> for transport av kontraktsposisjon finner du på www.nef.no/dokumentarkiv/kap</w:t>
      </w:r>
      <w:r w:rsidR="00DA1E23" w:rsidRPr="009B21B6">
        <w:rPr>
          <w:b/>
          <w:bCs/>
        </w:rPr>
        <w:t>8</w:t>
      </w:r>
      <w:r w:rsidR="00B612FF">
        <w:rPr>
          <w:b/>
          <w:bCs/>
        </w:rPr>
        <w:t xml:space="preserve"> </w:t>
      </w:r>
    </w:p>
    <w:p w:rsidR="00995BFA" w:rsidRPr="00F30866" w:rsidRDefault="00995BFA">
      <w:pPr>
        <w:rPr>
          <w:b/>
          <w:bCs/>
        </w:rPr>
      </w:pPr>
      <w:bookmarkStart w:id="0" w:name="_GoBack"/>
      <w:bookmarkEnd w:id="0"/>
    </w:p>
    <w:sectPr w:rsidR="00995BFA" w:rsidRPr="00F308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D6" w:rsidRDefault="007708D6" w:rsidP="004965CD">
      <w:pPr>
        <w:spacing w:after="0" w:line="240" w:lineRule="auto"/>
      </w:pPr>
      <w:r>
        <w:separator/>
      </w:r>
    </w:p>
  </w:endnote>
  <w:endnote w:type="continuationSeparator" w:id="0">
    <w:p w:rsidR="007708D6" w:rsidRDefault="007708D6" w:rsidP="0049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D6" w:rsidRDefault="007708D6" w:rsidP="004965CD">
      <w:pPr>
        <w:spacing w:after="0" w:line="240" w:lineRule="auto"/>
      </w:pPr>
      <w:r>
        <w:separator/>
      </w:r>
    </w:p>
  </w:footnote>
  <w:footnote w:type="continuationSeparator" w:id="0">
    <w:p w:rsidR="007708D6" w:rsidRDefault="007708D6" w:rsidP="00496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FA"/>
    <w:rsid w:val="000A55B5"/>
    <w:rsid w:val="0014326A"/>
    <w:rsid w:val="001A68E6"/>
    <w:rsid w:val="002271A6"/>
    <w:rsid w:val="00257F3D"/>
    <w:rsid w:val="002E5C00"/>
    <w:rsid w:val="004108EF"/>
    <w:rsid w:val="00463769"/>
    <w:rsid w:val="004965CD"/>
    <w:rsid w:val="004A52DB"/>
    <w:rsid w:val="005E6AEA"/>
    <w:rsid w:val="006029B4"/>
    <w:rsid w:val="00666DE5"/>
    <w:rsid w:val="006D4398"/>
    <w:rsid w:val="007630AB"/>
    <w:rsid w:val="007708D6"/>
    <w:rsid w:val="008337CB"/>
    <w:rsid w:val="008458FA"/>
    <w:rsid w:val="0087484F"/>
    <w:rsid w:val="009341C9"/>
    <w:rsid w:val="0098211E"/>
    <w:rsid w:val="009859BE"/>
    <w:rsid w:val="00995BFA"/>
    <w:rsid w:val="009A2CDE"/>
    <w:rsid w:val="009B21B6"/>
    <w:rsid w:val="009E5F0E"/>
    <w:rsid w:val="00A17D46"/>
    <w:rsid w:val="00A474BE"/>
    <w:rsid w:val="00AE0359"/>
    <w:rsid w:val="00B612FF"/>
    <w:rsid w:val="00BA490D"/>
    <w:rsid w:val="00BD78BD"/>
    <w:rsid w:val="00DA1E23"/>
    <w:rsid w:val="00F224F8"/>
    <w:rsid w:val="00F30866"/>
    <w:rsid w:val="00FA675D"/>
    <w:rsid w:val="00FB3F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2949-16EF-4B94-9BB8-D9152F4B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0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612FF"/>
    <w:rPr>
      <w:color w:val="0563C1" w:themeColor="hyperlink"/>
      <w:u w:val="single"/>
    </w:rPr>
  </w:style>
  <w:style w:type="paragraph" w:styleId="Bobletekst">
    <w:name w:val="Balloon Text"/>
    <w:basedOn w:val="Normal"/>
    <w:link w:val="BobletekstTegn"/>
    <w:uiPriority w:val="99"/>
    <w:semiHidden/>
    <w:unhideWhenUsed/>
    <w:rsid w:val="000A55B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55B5"/>
    <w:rPr>
      <w:rFonts w:ascii="Segoe UI" w:hAnsi="Segoe UI" w:cs="Segoe UI"/>
      <w:sz w:val="18"/>
      <w:szCs w:val="18"/>
    </w:rPr>
  </w:style>
  <w:style w:type="character" w:styleId="Merknadsreferanse">
    <w:name w:val="annotation reference"/>
    <w:basedOn w:val="Standardskriftforavsnitt"/>
    <w:uiPriority w:val="99"/>
    <w:semiHidden/>
    <w:unhideWhenUsed/>
    <w:rsid w:val="000A55B5"/>
    <w:rPr>
      <w:sz w:val="16"/>
      <w:szCs w:val="16"/>
    </w:rPr>
  </w:style>
  <w:style w:type="paragraph" w:styleId="Merknadstekst">
    <w:name w:val="annotation text"/>
    <w:basedOn w:val="Normal"/>
    <w:link w:val="MerknadstekstTegn"/>
    <w:uiPriority w:val="99"/>
    <w:semiHidden/>
    <w:unhideWhenUsed/>
    <w:rsid w:val="000A55B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A55B5"/>
    <w:rPr>
      <w:sz w:val="20"/>
      <w:szCs w:val="20"/>
    </w:rPr>
  </w:style>
  <w:style w:type="paragraph" w:styleId="Kommentaremne">
    <w:name w:val="annotation subject"/>
    <w:basedOn w:val="Merknadstekst"/>
    <w:next w:val="Merknadstekst"/>
    <w:link w:val="KommentaremneTegn"/>
    <w:uiPriority w:val="99"/>
    <w:semiHidden/>
    <w:unhideWhenUsed/>
    <w:rsid w:val="000A55B5"/>
    <w:rPr>
      <w:b/>
      <w:bCs/>
    </w:rPr>
  </w:style>
  <w:style w:type="character" w:customStyle="1" w:styleId="KommentaremneTegn">
    <w:name w:val="Kommentaremne Tegn"/>
    <w:basedOn w:val="MerknadstekstTegn"/>
    <w:link w:val="Kommentaremne"/>
    <w:uiPriority w:val="99"/>
    <w:semiHidden/>
    <w:rsid w:val="000A55B5"/>
    <w:rPr>
      <w:b/>
      <w:bCs/>
      <w:sz w:val="20"/>
      <w:szCs w:val="20"/>
    </w:rPr>
  </w:style>
  <w:style w:type="paragraph" w:styleId="Fotnotetekst">
    <w:name w:val="footnote text"/>
    <w:basedOn w:val="Normal"/>
    <w:link w:val="FotnotetekstTegn"/>
    <w:uiPriority w:val="99"/>
    <w:unhideWhenUsed/>
    <w:rsid w:val="004965CD"/>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rsid w:val="004965CD"/>
    <w:rPr>
      <w:rFonts w:ascii="Times New Roman" w:eastAsia="Times New Roman" w:hAnsi="Times New Roman" w:cs="Times New Roman"/>
      <w:sz w:val="20"/>
      <w:szCs w:val="20"/>
      <w:lang w:eastAsia="nb-NO"/>
    </w:rPr>
  </w:style>
  <w:style w:type="character" w:styleId="Fotnotereferanse">
    <w:name w:val="footnote reference"/>
    <w:uiPriority w:val="99"/>
    <w:unhideWhenUsed/>
    <w:rsid w:val="00496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9BED-5D58-4736-A075-9AFAD5F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1005</Words>
  <Characters>5328</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Norges Eiendomsmeglerforbund</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Fodstad Skumsrud</dc:creator>
  <cp:keywords/>
  <dc:description/>
  <cp:lastModifiedBy>Nina Fodstad Skumsrud</cp:lastModifiedBy>
  <cp:revision>2</cp:revision>
  <cp:lastPrinted>2018-04-11T06:02:00Z</cp:lastPrinted>
  <dcterms:created xsi:type="dcterms:W3CDTF">2018-04-17T06:41:00Z</dcterms:created>
  <dcterms:modified xsi:type="dcterms:W3CDTF">2018-04-17T06:41:00Z</dcterms:modified>
</cp:coreProperties>
</file>